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2C" w:rsidRPr="00B1340A" w:rsidRDefault="009E2F2C" w:rsidP="008B692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9E2F2C" w:rsidRDefault="009E2F2C" w:rsidP="008B692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應用外語學系</w:t>
      </w:r>
      <w:r w:rsidRPr="00B1340A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所</w:t>
      </w:r>
      <w:r w:rsidRPr="00B1340A">
        <w:rPr>
          <w:rFonts w:ascii="標楷體" w:eastAsia="標楷體" w:hAnsi="標楷體"/>
          <w:b/>
          <w:color w:val="000000"/>
          <w:sz w:val="36"/>
          <w:szCs w:val="36"/>
        </w:rPr>
        <w:t>)</w:t>
      </w: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教師升等審查要點</w:t>
      </w:r>
    </w:p>
    <w:p w:rsidR="009E2F2C" w:rsidRPr="00B1340A" w:rsidRDefault="009E2F2C" w:rsidP="006D5762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1340A">
        <w:rPr>
          <w:rFonts w:ascii="標楷體" w:eastAsia="標楷體" w:hAnsi="標楷體"/>
          <w:color w:val="000000"/>
          <w:sz w:val="20"/>
          <w:szCs w:val="20"/>
        </w:rPr>
        <w:t>101.06.15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 w:rsidRPr="00B1340A">
        <w:rPr>
          <w:rFonts w:ascii="標楷體" w:eastAsia="標楷體" w:hAnsi="標楷體"/>
          <w:color w:val="000000"/>
          <w:sz w:val="20"/>
          <w:szCs w:val="20"/>
        </w:rPr>
        <w:t xml:space="preserve"> 100</w:t>
      </w:r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學年度第二學期第</w:t>
      </w:r>
      <w:r w:rsidRPr="00B1340A">
        <w:rPr>
          <w:rFonts w:ascii="標楷體" w:eastAsia="標楷體" w:hAnsi="標楷體"/>
          <w:color w:val="000000"/>
          <w:sz w:val="20"/>
          <w:szCs w:val="20"/>
        </w:rPr>
        <w:t>4</w:t>
      </w:r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次系</w:t>
      </w:r>
      <w:proofErr w:type="gramStart"/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會議通過</w:t>
      </w:r>
    </w:p>
    <w:p w:rsidR="009E2F2C" w:rsidRPr="00B1340A" w:rsidRDefault="009E2F2C" w:rsidP="006D5762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1340A">
        <w:rPr>
          <w:rFonts w:ascii="標楷體" w:eastAsia="標楷體" w:hAnsi="標楷體"/>
          <w:color w:val="000000"/>
          <w:sz w:val="20"/>
          <w:szCs w:val="20"/>
        </w:rPr>
        <w:t>100.07.07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 w:rsidRPr="00B1340A">
        <w:rPr>
          <w:rFonts w:ascii="標楷體" w:eastAsia="標楷體" w:hAnsi="標楷體"/>
          <w:color w:val="000000"/>
          <w:sz w:val="20"/>
          <w:szCs w:val="20"/>
        </w:rPr>
        <w:t xml:space="preserve"> 99</w:t>
      </w:r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學年度第二學期第七次系</w:t>
      </w:r>
      <w:proofErr w:type="gramStart"/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會議通過</w:t>
      </w:r>
    </w:p>
    <w:p w:rsidR="009E2F2C" w:rsidRPr="006D5762" w:rsidRDefault="009E2F2C" w:rsidP="008B692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E2F2C" w:rsidRPr="00B1340A" w:rsidRDefault="009E2F2C" w:rsidP="008B6925">
      <w:pPr>
        <w:ind w:leftChars="14" w:left="567" w:hangingChars="222" w:hanging="53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一、康寧學校財團法人康寧大學人文資訊學院應用外語學系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以下簡稱本系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依據本系教師評審委員會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以下簡稱本系教評會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設置辦法及相關法規，制訂本系「教師升等審查</w:t>
      </w:r>
      <w:r>
        <w:rPr>
          <w:rFonts w:ascii="標楷體" w:eastAsia="標楷體" w:hAnsi="標楷體" w:hint="eastAsia"/>
          <w:color w:val="000000"/>
        </w:rPr>
        <w:t>要點</w:t>
      </w:r>
      <w:r w:rsidRPr="00B1340A">
        <w:rPr>
          <w:rFonts w:ascii="標楷體" w:eastAsia="標楷體" w:hAnsi="標楷體" w:hint="eastAsia"/>
          <w:color w:val="000000"/>
        </w:rPr>
        <w:t>」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以下簡稱本</w:t>
      </w:r>
      <w:r>
        <w:rPr>
          <w:rFonts w:ascii="標楷體" w:eastAsia="標楷體" w:hAnsi="標楷體" w:hint="eastAsia"/>
          <w:color w:val="000000"/>
        </w:rPr>
        <w:t>要點</w:t>
      </w:r>
      <w:r w:rsidRPr="00B1340A">
        <w:rPr>
          <w:rFonts w:ascii="標楷體" w:eastAsia="標楷體" w:hAnsi="標楷體"/>
          <w:color w:val="000000"/>
        </w:rPr>
        <w:t xml:space="preserve">) </w:t>
      </w:r>
      <w:r w:rsidRPr="00B1340A">
        <w:rPr>
          <w:rFonts w:ascii="標楷體" w:eastAsia="標楷體" w:hAnsi="標楷體" w:hint="eastAsia"/>
          <w:color w:val="000000"/>
        </w:rPr>
        <w:t>。</w:t>
      </w:r>
    </w:p>
    <w:p w:rsidR="009E2F2C" w:rsidRPr="00B1340A" w:rsidRDefault="009E2F2C" w:rsidP="008B6925">
      <w:pPr>
        <w:ind w:leftChars="-1" w:left="425" w:hangingChars="178" w:hanging="427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 xml:space="preserve">二、本系專任教師升等之評審，除依據本院教師升等審查準則及相關法規辦理外，悉依照本　</w:t>
      </w:r>
      <w:r>
        <w:rPr>
          <w:rFonts w:ascii="標楷體" w:eastAsia="標楷體" w:hAnsi="標楷體" w:hint="eastAsia"/>
          <w:color w:val="000000"/>
        </w:rPr>
        <w:t>要點</w:t>
      </w:r>
      <w:r w:rsidRPr="00B1340A">
        <w:rPr>
          <w:rFonts w:ascii="標楷體" w:eastAsia="標楷體" w:hAnsi="標楷體" w:hint="eastAsia"/>
          <w:color w:val="000000"/>
        </w:rPr>
        <w:t>辦理。</w:t>
      </w:r>
    </w:p>
    <w:p w:rsidR="009E2F2C" w:rsidRPr="00B1340A" w:rsidRDefault="009E2F2C" w:rsidP="008B6925">
      <w:pPr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三、教師升等評審時，應包括：</w:t>
      </w:r>
    </w:p>
    <w:p w:rsidR="009E2F2C" w:rsidRPr="00B1340A" w:rsidRDefault="009E2F2C" w:rsidP="008B6925">
      <w:pPr>
        <w:ind w:leftChars="178" w:left="849" w:hangingChars="176" w:hanging="422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proofErr w:type="gramStart"/>
      <w:r w:rsidRPr="00B1340A">
        <w:rPr>
          <w:rFonts w:ascii="標楷體" w:eastAsia="標楷體" w:hAnsi="標楷體" w:hint="eastAsia"/>
          <w:color w:val="000000"/>
        </w:rPr>
        <w:t>一</w:t>
      </w:r>
      <w:proofErr w:type="gramEnd"/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申請人之著作目錄、代表著作及參考著作或學位論文或作品，其中代表著作需經審查程序，且已被接受或刊登之學術期刊論文，兩人以上合著，需另附合著人證明。</w:t>
      </w:r>
    </w:p>
    <w:p w:rsidR="009E2F2C" w:rsidRPr="00B1340A" w:rsidRDefault="009E2F2C" w:rsidP="008B6925">
      <w:pPr>
        <w:ind w:leftChars="178" w:left="1800" w:hangingChars="572" w:hanging="137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二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申請人在本職級升等年資內有關教學、學術研究及服務之評審資料。</w:t>
      </w:r>
    </w:p>
    <w:p w:rsidR="009E2F2C" w:rsidRPr="00B1340A" w:rsidRDefault="009E2F2C" w:rsidP="008B6925">
      <w:pPr>
        <w:tabs>
          <w:tab w:val="left" w:pos="426"/>
        </w:tabs>
        <w:ind w:leftChars="178" w:left="1800" w:hangingChars="572" w:hanging="137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三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學校規定之各項評審表格資料。</w:t>
      </w:r>
    </w:p>
    <w:p w:rsidR="009E2F2C" w:rsidRPr="00B1340A" w:rsidRDefault="009E2F2C" w:rsidP="008B6925">
      <w:pPr>
        <w:ind w:leftChars="178" w:left="1800" w:hangingChars="572" w:hanging="137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四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其他有利於評審之佐</w:t>
      </w:r>
      <w:proofErr w:type="gramStart"/>
      <w:r w:rsidRPr="00B1340A">
        <w:rPr>
          <w:rFonts w:ascii="標楷體" w:eastAsia="標楷體" w:hAnsi="標楷體" w:hint="eastAsia"/>
          <w:color w:val="000000"/>
        </w:rPr>
        <w:t>証</w:t>
      </w:r>
      <w:proofErr w:type="gramEnd"/>
      <w:r w:rsidRPr="00B1340A">
        <w:rPr>
          <w:rFonts w:ascii="標楷體" w:eastAsia="標楷體" w:hAnsi="標楷體" w:hint="eastAsia"/>
          <w:color w:val="000000"/>
        </w:rPr>
        <w:t>或參考資料。</w:t>
      </w:r>
    </w:p>
    <w:p w:rsidR="009E2F2C" w:rsidRPr="00B1340A" w:rsidRDefault="009E2F2C" w:rsidP="008B6925">
      <w:pPr>
        <w:ind w:leftChars="354" w:left="85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教師須於每年</w:t>
      </w:r>
      <w:r w:rsidRPr="00B1340A">
        <w:rPr>
          <w:rFonts w:ascii="標楷體" w:eastAsia="標楷體" w:hAnsi="標楷體"/>
          <w:color w:val="000000"/>
        </w:rPr>
        <w:t>3</w:t>
      </w:r>
      <w:r w:rsidRPr="00B1340A">
        <w:rPr>
          <w:rFonts w:ascii="標楷體" w:eastAsia="標楷體" w:hAnsi="標楷體" w:hint="eastAsia"/>
          <w:color w:val="000000"/>
        </w:rPr>
        <w:t>月或</w:t>
      </w:r>
      <w:r w:rsidRPr="00B1340A">
        <w:rPr>
          <w:rFonts w:ascii="標楷體" w:eastAsia="標楷體" w:hAnsi="標楷體"/>
          <w:color w:val="000000"/>
        </w:rPr>
        <w:t>10</w:t>
      </w:r>
      <w:r w:rsidRPr="00B1340A">
        <w:rPr>
          <w:rFonts w:ascii="標楷體" w:eastAsia="標楷體" w:hAnsi="標楷體" w:hint="eastAsia"/>
          <w:color w:val="000000"/>
        </w:rPr>
        <w:t>月底前將著作及相關表件向系所提出申請，由各系先行初步審核各項有關表件，符合規定者，報請院教師評審委員會審查。</w:t>
      </w:r>
    </w:p>
    <w:p w:rsidR="009E2F2C" w:rsidRPr="00B1340A" w:rsidRDefault="009E2F2C" w:rsidP="008B6925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四、本系教師辦理升等，需提送下列研究著作資料以備審查：</w:t>
      </w:r>
    </w:p>
    <w:p w:rsidR="009E2F2C" w:rsidRPr="00B1340A" w:rsidRDefault="009E2F2C" w:rsidP="008B6925">
      <w:pPr>
        <w:ind w:leftChars="178" w:left="1831" w:hangingChars="585" w:hanging="1404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proofErr w:type="gramStart"/>
      <w:r w:rsidRPr="00B1340A">
        <w:rPr>
          <w:rFonts w:ascii="標楷體" w:eastAsia="標楷體" w:hAnsi="標楷體" w:hint="eastAsia"/>
          <w:color w:val="000000"/>
        </w:rPr>
        <w:t>一</w:t>
      </w:r>
      <w:proofErr w:type="gramEnd"/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代表作一篇：</w:t>
      </w:r>
    </w:p>
    <w:p w:rsidR="009E2F2C" w:rsidRPr="00B1340A" w:rsidRDefault="009E2F2C" w:rsidP="008B6925">
      <w:pPr>
        <w:ind w:leftChars="354" w:left="1133" w:hangingChars="118" w:hanging="28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1.</w:t>
      </w:r>
      <w:r w:rsidRPr="00B1340A">
        <w:rPr>
          <w:rFonts w:ascii="標楷體" w:eastAsia="標楷體" w:hAnsi="標楷體" w:hint="eastAsia"/>
          <w:color w:val="000000"/>
        </w:rPr>
        <w:t>在國內外知名學術性刊物發表或經出版公開發行之學術性著作，於取得該職</w:t>
      </w:r>
      <w:proofErr w:type="gramStart"/>
      <w:r w:rsidRPr="00B1340A">
        <w:rPr>
          <w:rFonts w:ascii="標楷體" w:eastAsia="標楷體" w:hAnsi="標楷體" w:hint="eastAsia"/>
          <w:color w:val="000000"/>
        </w:rPr>
        <w:t>等後且</w:t>
      </w:r>
      <w:proofErr w:type="gramEnd"/>
      <w:r w:rsidRPr="00B1340A">
        <w:rPr>
          <w:rFonts w:ascii="標楷體" w:eastAsia="標楷體" w:hAnsi="標楷體" w:hint="eastAsia"/>
          <w:color w:val="000000"/>
        </w:rPr>
        <w:t>五年內出版者，或已獲「被接受」之證明文件者為代表作。</w:t>
      </w:r>
    </w:p>
    <w:p w:rsidR="009E2F2C" w:rsidRPr="00B1340A" w:rsidRDefault="009E2F2C" w:rsidP="008B6925">
      <w:pPr>
        <w:ind w:leftChars="354" w:left="1131" w:hangingChars="117" w:hanging="281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2.</w:t>
      </w:r>
      <w:r w:rsidRPr="00B1340A">
        <w:rPr>
          <w:rFonts w:ascii="標楷體" w:eastAsia="標楷體" w:hAnsi="標楷體" w:hint="eastAsia"/>
          <w:color w:val="000000"/>
        </w:rPr>
        <w:t>未曾以學位文憑送審教師資格或升等者，其學位論文若經重新整理出版，並敘明其中屬於個人貢獻之部分，始得為送審之代表著作。</w:t>
      </w:r>
    </w:p>
    <w:p w:rsidR="009E2F2C" w:rsidRPr="00B1340A" w:rsidRDefault="009E2F2C" w:rsidP="008B6925">
      <w:pPr>
        <w:ind w:leftChars="473" w:left="1800" w:hangingChars="277" w:hanging="665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送審時並應同時檢附學位論文以</w:t>
      </w:r>
      <w:proofErr w:type="gramStart"/>
      <w:r w:rsidRPr="00B1340A">
        <w:rPr>
          <w:rFonts w:ascii="標楷體" w:eastAsia="標楷體" w:hAnsi="標楷體" w:hint="eastAsia"/>
          <w:color w:val="000000"/>
        </w:rPr>
        <w:t>備核驗</w:t>
      </w:r>
      <w:proofErr w:type="gramEnd"/>
      <w:r w:rsidRPr="00B1340A">
        <w:rPr>
          <w:rFonts w:ascii="標楷體" w:eastAsia="標楷體" w:hAnsi="標楷體" w:hint="eastAsia"/>
          <w:color w:val="000000"/>
        </w:rPr>
        <w:t>。</w:t>
      </w:r>
    </w:p>
    <w:p w:rsidR="009E2F2C" w:rsidRPr="00B1340A" w:rsidRDefault="009E2F2C" w:rsidP="008B6925">
      <w:pPr>
        <w:ind w:leftChars="355" w:left="1800" w:hangingChars="395" w:hanging="94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3.</w:t>
      </w:r>
      <w:r w:rsidRPr="00B1340A">
        <w:rPr>
          <w:rFonts w:ascii="標楷體" w:eastAsia="標楷體" w:hAnsi="標楷體" w:hint="eastAsia"/>
          <w:color w:val="000000"/>
        </w:rPr>
        <w:t>代表作必須是在本校任職時，所發表之論文。</w:t>
      </w:r>
    </w:p>
    <w:p w:rsidR="009E2F2C" w:rsidRPr="00B1340A" w:rsidRDefault="009E2F2C" w:rsidP="008B6925">
      <w:pPr>
        <w:ind w:leftChars="355" w:left="1800" w:hangingChars="395" w:hanging="94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4.</w:t>
      </w:r>
      <w:r w:rsidRPr="00B1340A">
        <w:rPr>
          <w:rFonts w:ascii="標楷體" w:eastAsia="標楷體" w:hAnsi="標楷體" w:hint="eastAsia"/>
          <w:color w:val="000000"/>
        </w:rPr>
        <w:t>研討會論文不得作為代表作。</w:t>
      </w:r>
    </w:p>
    <w:p w:rsidR="009E2F2C" w:rsidRPr="00B1340A" w:rsidRDefault="009E2F2C" w:rsidP="008B6925">
      <w:pPr>
        <w:ind w:leftChars="355" w:left="1800" w:hangingChars="395" w:hanging="94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5.</w:t>
      </w:r>
      <w:r w:rsidRPr="00B1340A">
        <w:rPr>
          <w:rFonts w:ascii="標楷體" w:eastAsia="標楷體" w:hAnsi="標楷體" w:hint="eastAsia"/>
          <w:color w:val="000000"/>
        </w:rPr>
        <w:t>代表作如係二人或以上合著者，申請升等教師須為第一作者或通訊作者，並應附送所有作者對該著作之貢獻說明書。</w:t>
      </w:r>
    </w:p>
    <w:p w:rsidR="009E2F2C" w:rsidRPr="00B1340A" w:rsidRDefault="009E2F2C" w:rsidP="008B6925">
      <w:pPr>
        <w:widowControl/>
        <w:ind w:firstLineChars="354" w:firstLine="850"/>
        <w:textAlignment w:val="center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6.</w:t>
      </w:r>
      <w:r w:rsidRPr="00B1340A">
        <w:rPr>
          <w:rFonts w:ascii="標楷體" w:eastAsia="標楷體" w:hAnsi="標楷體" w:hint="eastAsia"/>
          <w:color w:val="000000"/>
        </w:rPr>
        <w:t>需提出相關資料說明其代表著作與任教科目是否相符。</w:t>
      </w:r>
    </w:p>
    <w:p w:rsidR="009E2F2C" w:rsidRPr="00B1340A" w:rsidRDefault="009E2F2C" w:rsidP="008B6925">
      <w:pPr>
        <w:ind w:leftChars="178" w:left="849" w:hangingChars="176" w:hanging="422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二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參考著作：申請升等時該職等五年內已經出版之著作或已獲「被接受」之學術性著作及其證明文件者均可為參考著作。</w:t>
      </w:r>
    </w:p>
    <w:p w:rsidR="009E2F2C" w:rsidRPr="00B1340A" w:rsidRDefault="009E2F2C" w:rsidP="008B6925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五、申請人提送該職等近五年內研究著作須符合下列標準：</w:t>
      </w:r>
    </w:p>
    <w:p w:rsidR="009E2F2C" w:rsidRPr="00B1340A" w:rsidRDefault="009E2F2C" w:rsidP="008B6925">
      <w:pPr>
        <w:ind w:leftChars="178" w:left="1680" w:hangingChars="522" w:hanging="125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proofErr w:type="gramStart"/>
      <w:r w:rsidRPr="00B1340A">
        <w:rPr>
          <w:rFonts w:ascii="標楷體" w:eastAsia="標楷體" w:hAnsi="標楷體" w:hint="eastAsia"/>
          <w:color w:val="000000"/>
        </w:rPr>
        <w:t>一</w:t>
      </w:r>
      <w:proofErr w:type="gramEnd"/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副教授申請升等教授者，至少需有</w:t>
      </w:r>
      <w:r w:rsidRPr="00B1340A">
        <w:rPr>
          <w:rFonts w:ascii="標楷體" w:eastAsia="標楷體" w:hAnsi="標楷體"/>
          <w:color w:val="000000"/>
        </w:rPr>
        <w:t xml:space="preserve">6 </w:t>
      </w:r>
      <w:r w:rsidRPr="00B1340A">
        <w:rPr>
          <w:rFonts w:ascii="標楷體" w:eastAsia="標楷體" w:hAnsi="標楷體" w:hint="eastAsia"/>
          <w:color w:val="000000"/>
        </w:rPr>
        <w:t>篇學術期刊論文或技術文獻。</w:t>
      </w:r>
    </w:p>
    <w:p w:rsidR="009E2F2C" w:rsidRPr="00B1340A" w:rsidRDefault="009E2F2C" w:rsidP="008B6925">
      <w:pPr>
        <w:ind w:leftChars="178" w:left="1680" w:hangingChars="522" w:hanging="125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二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助理教授申請升等副教授者，至少需有</w:t>
      </w:r>
      <w:r w:rsidRPr="00B1340A">
        <w:rPr>
          <w:rFonts w:ascii="標楷體" w:eastAsia="標楷體" w:hAnsi="標楷體"/>
          <w:color w:val="000000"/>
        </w:rPr>
        <w:t xml:space="preserve">3 </w:t>
      </w:r>
      <w:r w:rsidRPr="00B1340A">
        <w:rPr>
          <w:rFonts w:ascii="標楷體" w:eastAsia="標楷體" w:hAnsi="標楷體" w:hint="eastAsia"/>
          <w:color w:val="000000"/>
        </w:rPr>
        <w:t>篇學術期刊論文或技術文獻。</w:t>
      </w:r>
    </w:p>
    <w:p w:rsidR="009E2F2C" w:rsidRPr="00B1340A" w:rsidRDefault="009E2F2C" w:rsidP="008B6925">
      <w:pPr>
        <w:ind w:leftChars="178" w:left="852" w:hangingChars="177" w:hanging="425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三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講師申請升等助理教授者，至少需有</w:t>
      </w:r>
      <w:r w:rsidRPr="00B1340A">
        <w:rPr>
          <w:rFonts w:ascii="標楷體" w:eastAsia="標楷體" w:hAnsi="標楷體"/>
          <w:color w:val="000000"/>
        </w:rPr>
        <w:t>3</w:t>
      </w:r>
      <w:r w:rsidRPr="00B1340A">
        <w:rPr>
          <w:rFonts w:ascii="標楷體" w:eastAsia="標楷體" w:hAnsi="標楷體" w:hint="eastAsia"/>
          <w:color w:val="000000"/>
        </w:rPr>
        <w:t>篇學術期刊論文或技術文獻或</w:t>
      </w:r>
      <w:r w:rsidRPr="00B1340A">
        <w:rPr>
          <w:rFonts w:ascii="標楷體" w:eastAsia="標楷體" w:hAnsi="標楷體"/>
          <w:color w:val="000000"/>
        </w:rPr>
        <w:t>3</w:t>
      </w:r>
      <w:r w:rsidRPr="00B1340A">
        <w:rPr>
          <w:rFonts w:ascii="標楷體" w:eastAsia="標楷體" w:hAnsi="標楷體" w:hint="eastAsia"/>
          <w:color w:val="000000"/>
        </w:rPr>
        <w:t>場個人名義展演。</w:t>
      </w:r>
    </w:p>
    <w:p w:rsidR="009E2F2C" w:rsidRPr="00B1340A" w:rsidRDefault="009E2F2C" w:rsidP="008B6925">
      <w:pPr>
        <w:ind w:leftChars="178" w:left="849" w:hangingChars="176" w:hanging="422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lastRenderedPageBreak/>
        <w:t>(</w:t>
      </w:r>
      <w:r w:rsidRPr="00B1340A">
        <w:rPr>
          <w:rFonts w:ascii="標楷體" w:eastAsia="標楷體" w:hAnsi="標楷體" w:hint="eastAsia"/>
          <w:color w:val="000000"/>
        </w:rPr>
        <w:t>四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前一、二、三款之學術論文須有三分之一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含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以上為</w:t>
      </w:r>
      <w:r w:rsidRPr="00B1340A">
        <w:rPr>
          <w:rFonts w:ascii="標楷體" w:eastAsia="標楷體" w:hAnsi="標楷體"/>
          <w:color w:val="000000"/>
        </w:rPr>
        <w:t>SCI (</w:t>
      </w:r>
      <w:r w:rsidRPr="00B1340A">
        <w:rPr>
          <w:rFonts w:ascii="標楷體" w:eastAsia="標楷體" w:hAnsi="標楷體" w:hint="eastAsia"/>
          <w:color w:val="000000"/>
        </w:rPr>
        <w:t>不含</w:t>
      </w:r>
      <w:r w:rsidRPr="00B1340A">
        <w:rPr>
          <w:rFonts w:ascii="標楷體" w:eastAsia="標楷體" w:hAnsi="標楷體"/>
          <w:color w:val="000000"/>
        </w:rPr>
        <w:t>LNCS)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SSCI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AHCI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CIJE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HI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TSSCI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EI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THCI</w:t>
      </w:r>
      <w:r w:rsidRPr="00B1340A">
        <w:rPr>
          <w:rFonts w:ascii="標楷體" w:eastAsia="標楷體" w:hAnsi="標楷體" w:hint="eastAsia"/>
          <w:color w:val="000000"/>
        </w:rPr>
        <w:t>或各領域所推薦的優良期刊等資料庫收錄之學術期刊論文。技術文獻須為發明專利或技術移轉。</w:t>
      </w:r>
    </w:p>
    <w:p w:rsidR="009E2F2C" w:rsidRPr="00B1340A" w:rsidRDefault="009E2F2C" w:rsidP="008B6925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六、教師升等評審內容以教學、學術研究、服務及輔導等四項為依據。</w:t>
      </w:r>
    </w:p>
    <w:p w:rsidR="009E2F2C" w:rsidRPr="00B1340A" w:rsidRDefault="009E2F2C" w:rsidP="008B6925">
      <w:pPr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(</w:t>
      </w:r>
      <w:proofErr w:type="gramStart"/>
      <w:r w:rsidRPr="00B1340A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教學：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教學計劃內容與方法。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敬業精神。</w:t>
      </w:r>
      <w:r w:rsidRPr="00B1340A">
        <w:rPr>
          <w:rFonts w:ascii="標楷體" w:eastAsia="標楷體" w:hAnsi="標楷體"/>
          <w:color w:val="000000"/>
          <w:szCs w:val="24"/>
        </w:rPr>
        <w:t xml:space="preserve"> 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課業輔導與師生互動。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4.</w:t>
      </w:r>
      <w:r w:rsidRPr="00B1340A">
        <w:rPr>
          <w:rFonts w:ascii="標楷體" w:eastAsia="標楷體" w:hAnsi="標楷體" w:hint="eastAsia"/>
          <w:color w:val="000000"/>
          <w:szCs w:val="24"/>
        </w:rPr>
        <w:t>教學政策之配合。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5.</w:t>
      </w:r>
      <w:r w:rsidRPr="00B1340A">
        <w:rPr>
          <w:rFonts w:ascii="標楷體" w:eastAsia="標楷體" w:hAnsi="標楷體" w:hint="eastAsia"/>
          <w:color w:val="000000"/>
          <w:szCs w:val="24"/>
        </w:rPr>
        <w:t>教學年資及其他與教學有關之事項。</w:t>
      </w:r>
    </w:p>
    <w:p w:rsidR="009E2F2C" w:rsidRPr="00B1340A" w:rsidRDefault="009E2F2C" w:rsidP="008B6925">
      <w:pPr>
        <w:ind w:left="2880" w:hangingChars="1200" w:hanging="288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 xml:space="preserve">    (</w:t>
      </w:r>
      <w:r w:rsidRPr="00B1340A">
        <w:rPr>
          <w:rFonts w:ascii="標楷體" w:eastAsia="標楷體" w:hAnsi="標楷體" w:hint="eastAsia"/>
          <w:color w:val="000000"/>
          <w:szCs w:val="24"/>
        </w:rPr>
        <w:t>二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學術研究：</w:t>
      </w:r>
    </w:p>
    <w:p w:rsidR="009E2F2C" w:rsidRPr="00B1340A" w:rsidRDefault="009E2F2C" w:rsidP="008B6925">
      <w:pPr>
        <w:ind w:leftChars="355" w:left="2520" w:hangingChars="695" w:hanging="1668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代表著作或參考著作（含專業性學術期刊論文、學術專書、技術報告成果</w:t>
      </w: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專利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）。</w:t>
      </w:r>
    </w:p>
    <w:p w:rsidR="009E2F2C" w:rsidRPr="00B1340A" w:rsidRDefault="009E2F2C" w:rsidP="008B6925">
      <w:pPr>
        <w:widowControl/>
        <w:ind w:leftChars="355" w:left="2461" w:hanging="1609"/>
        <w:jc w:val="both"/>
        <w:textAlignment w:val="center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研究計畫案</w:t>
      </w:r>
      <w:r w:rsidRPr="00B1340A">
        <w:rPr>
          <w:rFonts w:ascii="標楷體" w:eastAsia="標楷體" w:hAnsi="標楷體"/>
          <w:color w:val="000000"/>
          <w:szCs w:val="24"/>
        </w:rPr>
        <w:t>(</w:t>
      </w:r>
      <w:proofErr w:type="gramStart"/>
      <w:r w:rsidRPr="00B1340A">
        <w:rPr>
          <w:rFonts w:ascii="標楷體" w:eastAsia="標楷體" w:hAnsi="標楷體" w:hint="eastAsia"/>
          <w:color w:val="000000"/>
          <w:szCs w:val="24"/>
        </w:rPr>
        <w:t>含產學</w:t>
      </w:r>
      <w:proofErr w:type="gramEnd"/>
      <w:r w:rsidRPr="00B1340A">
        <w:rPr>
          <w:rFonts w:ascii="標楷體" w:eastAsia="標楷體" w:hAnsi="標楷體" w:hint="eastAsia"/>
          <w:color w:val="000000"/>
          <w:szCs w:val="24"/>
        </w:rPr>
        <w:t>合作案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。</w:t>
      </w:r>
    </w:p>
    <w:p w:rsidR="009E2F2C" w:rsidRPr="00B1340A" w:rsidRDefault="009E2F2C" w:rsidP="008B6925">
      <w:pPr>
        <w:widowControl/>
        <w:ind w:leftChars="355" w:left="2101" w:hanging="1249"/>
        <w:jc w:val="both"/>
        <w:textAlignment w:val="center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研究榮譽獎項、參與學術活動及獲競賽獎項。</w:t>
      </w:r>
    </w:p>
    <w:p w:rsidR="009E2F2C" w:rsidRPr="00B1340A" w:rsidRDefault="009E2F2C" w:rsidP="008B6925">
      <w:pPr>
        <w:widowControl/>
        <w:ind w:firstLineChars="354" w:firstLine="850"/>
        <w:jc w:val="both"/>
        <w:textAlignment w:val="center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4.</w:t>
      </w:r>
      <w:r w:rsidRPr="00B1340A">
        <w:rPr>
          <w:rFonts w:ascii="標楷體" w:eastAsia="標楷體" w:hAnsi="標楷體" w:hint="eastAsia"/>
          <w:color w:val="000000"/>
          <w:szCs w:val="24"/>
        </w:rPr>
        <w:t>其他有利審查之研究成果。</w:t>
      </w:r>
    </w:p>
    <w:p w:rsidR="009E2F2C" w:rsidRPr="00B1340A" w:rsidRDefault="009E2F2C" w:rsidP="008B6925">
      <w:pPr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三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服務：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行政服務。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專業服務。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推廣服務。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4.</w:t>
      </w:r>
      <w:r w:rsidRPr="00B1340A">
        <w:rPr>
          <w:rFonts w:ascii="標楷體" w:eastAsia="標楷體" w:hAnsi="標楷體" w:hint="eastAsia"/>
          <w:color w:val="000000"/>
          <w:szCs w:val="24"/>
        </w:rPr>
        <w:t>其它有關提昇校譽或服務績效之事項。</w:t>
      </w:r>
    </w:p>
    <w:p w:rsidR="009E2F2C" w:rsidRPr="00B1340A" w:rsidRDefault="009E2F2C" w:rsidP="008B6925">
      <w:pPr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四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輔導：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擔任導師表現。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協助學</w:t>
      </w:r>
      <w:proofErr w:type="gramStart"/>
      <w:r w:rsidRPr="00B1340A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B1340A">
        <w:rPr>
          <w:rFonts w:ascii="標楷體" w:eastAsia="標楷體" w:hAnsi="標楷體" w:hint="eastAsia"/>
          <w:color w:val="000000"/>
          <w:szCs w:val="24"/>
        </w:rPr>
        <w:t>工作推廣。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proofErr w:type="gramStart"/>
      <w:r w:rsidRPr="00B1340A">
        <w:rPr>
          <w:rFonts w:ascii="標楷體" w:eastAsia="標楷體" w:hAnsi="標楷體" w:hint="eastAsia"/>
          <w:color w:val="000000"/>
          <w:szCs w:val="24"/>
        </w:rPr>
        <w:t>兼任義</w:t>
      </w:r>
      <w:r w:rsidRPr="00B1340A">
        <w:rPr>
          <w:rFonts w:ascii="標楷體" w:eastAsia="標楷體" w:hAnsi="標楷體" w:hint="eastAsia"/>
          <w:color w:val="000000"/>
        </w:rPr>
        <w:t>輔老師</w:t>
      </w:r>
      <w:proofErr w:type="gramEnd"/>
      <w:r w:rsidRPr="00B1340A">
        <w:rPr>
          <w:rFonts w:ascii="標楷體" w:eastAsia="標楷體" w:hAnsi="標楷體" w:hint="eastAsia"/>
          <w:color w:val="000000"/>
        </w:rPr>
        <w:t>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4.</w:t>
      </w:r>
      <w:r w:rsidRPr="00B1340A">
        <w:rPr>
          <w:rFonts w:ascii="標楷體" w:eastAsia="標楷體" w:hAnsi="標楷體" w:hint="eastAsia"/>
          <w:color w:val="000000"/>
        </w:rPr>
        <w:t>其他實際從事學生輔導工作情形。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5.</w:t>
      </w:r>
      <w:r w:rsidRPr="00B1340A">
        <w:rPr>
          <w:rFonts w:ascii="標楷體" w:eastAsia="標楷體" w:hAnsi="標楷體" w:hint="eastAsia"/>
          <w:color w:val="000000"/>
        </w:rPr>
        <w:t>自我評量。</w:t>
      </w:r>
    </w:p>
    <w:p w:rsidR="009E2F2C" w:rsidRPr="00B1340A" w:rsidRDefault="009E2F2C" w:rsidP="008B6925">
      <w:pPr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七、通過系教評會第一階段初審，連同評審成績、各項表件、會議記錄及其升等著作送請院教評會</w:t>
      </w:r>
      <w:proofErr w:type="gramStart"/>
      <w:r w:rsidRPr="00B1340A">
        <w:rPr>
          <w:rFonts w:ascii="標楷體" w:eastAsia="標楷體" w:hAnsi="標楷體" w:hint="eastAsia"/>
          <w:color w:val="000000"/>
        </w:rPr>
        <w:t>複</w:t>
      </w:r>
      <w:proofErr w:type="gramEnd"/>
      <w:r w:rsidRPr="00B1340A">
        <w:rPr>
          <w:rFonts w:ascii="標楷體" w:eastAsia="標楷體" w:hAnsi="標楷體" w:hint="eastAsia"/>
          <w:color w:val="000000"/>
        </w:rPr>
        <w:t>審及校教評會決審。</w:t>
      </w:r>
    </w:p>
    <w:p w:rsidR="009E2F2C" w:rsidRPr="00B1340A" w:rsidRDefault="009E2F2C" w:rsidP="008B6925">
      <w:pPr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八、升等教授之評審時，應以出席教授級委員三分之二（含）以上同意，始得為決議。</w:t>
      </w:r>
    </w:p>
    <w:p w:rsidR="009E2F2C" w:rsidRPr="00B1340A" w:rsidRDefault="009E2F2C" w:rsidP="008B6925">
      <w:pPr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九、申請人對升等評審結果有疑義時，依本校相關申訴處理程序提起申訴。</w:t>
      </w:r>
    </w:p>
    <w:p w:rsidR="009E2F2C" w:rsidRPr="00B1340A" w:rsidRDefault="009E2F2C" w:rsidP="008B6925">
      <w:pPr>
        <w:ind w:left="1188" w:hangingChars="495" w:hanging="118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十、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sectPr w:rsidR="009E2F2C" w:rsidRPr="00B1340A" w:rsidSect="00B134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15" w:rsidRDefault="00897A15" w:rsidP="00116C34">
      <w:r>
        <w:separator/>
      </w:r>
    </w:p>
  </w:endnote>
  <w:endnote w:type="continuationSeparator" w:id="0">
    <w:p w:rsidR="00897A15" w:rsidRDefault="00897A1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15" w:rsidRDefault="00897A15" w:rsidP="00116C34">
      <w:r>
        <w:separator/>
      </w:r>
    </w:p>
  </w:footnote>
  <w:footnote w:type="continuationSeparator" w:id="0">
    <w:p w:rsidR="00897A15" w:rsidRDefault="00897A1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AAE2CB1"/>
    <w:multiLevelType w:val="hybridMultilevel"/>
    <w:tmpl w:val="251C05F8"/>
    <w:lvl w:ilvl="0" w:tplc="45A2B5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6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1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17"/>
  </w:num>
  <w:num w:numId="6">
    <w:abstractNumId w:val="21"/>
  </w:num>
  <w:num w:numId="7">
    <w:abstractNumId w:val="14"/>
  </w:num>
  <w:num w:numId="8">
    <w:abstractNumId w:val="25"/>
  </w:num>
  <w:num w:numId="9">
    <w:abstractNumId w:val="19"/>
  </w:num>
  <w:num w:numId="10">
    <w:abstractNumId w:val="2"/>
  </w:num>
  <w:num w:numId="11">
    <w:abstractNumId w:val="11"/>
  </w:num>
  <w:num w:numId="12">
    <w:abstractNumId w:val="23"/>
  </w:num>
  <w:num w:numId="13">
    <w:abstractNumId w:val="4"/>
  </w:num>
  <w:num w:numId="14">
    <w:abstractNumId w:val="20"/>
  </w:num>
  <w:num w:numId="15">
    <w:abstractNumId w:val="22"/>
  </w:num>
  <w:num w:numId="16">
    <w:abstractNumId w:val="12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  <w:num w:numId="22">
    <w:abstractNumId w:val="15"/>
  </w:num>
  <w:num w:numId="23">
    <w:abstractNumId w:val="24"/>
  </w:num>
  <w:num w:numId="24">
    <w:abstractNumId w:val="16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02A1"/>
    <w:rsid w:val="00045531"/>
    <w:rsid w:val="00063D3B"/>
    <w:rsid w:val="00065DA5"/>
    <w:rsid w:val="000661B9"/>
    <w:rsid w:val="00080E9C"/>
    <w:rsid w:val="0008550C"/>
    <w:rsid w:val="000D6270"/>
    <w:rsid w:val="000F1E2F"/>
    <w:rsid w:val="00116C34"/>
    <w:rsid w:val="00141B7F"/>
    <w:rsid w:val="0015335B"/>
    <w:rsid w:val="00165019"/>
    <w:rsid w:val="001657AD"/>
    <w:rsid w:val="001718B3"/>
    <w:rsid w:val="00176CA4"/>
    <w:rsid w:val="00182C71"/>
    <w:rsid w:val="00184D6D"/>
    <w:rsid w:val="0019761D"/>
    <w:rsid w:val="001A0ED1"/>
    <w:rsid w:val="001A5A6E"/>
    <w:rsid w:val="001A70E3"/>
    <w:rsid w:val="001F6FD3"/>
    <w:rsid w:val="002176C6"/>
    <w:rsid w:val="00225E16"/>
    <w:rsid w:val="002310B0"/>
    <w:rsid w:val="00241C6A"/>
    <w:rsid w:val="00253487"/>
    <w:rsid w:val="00262592"/>
    <w:rsid w:val="002A2E44"/>
    <w:rsid w:val="002B7953"/>
    <w:rsid w:val="002D47DC"/>
    <w:rsid w:val="003029F4"/>
    <w:rsid w:val="00310DED"/>
    <w:rsid w:val="00315199"/>
    <w:rsid w:val="00315DF5"/>
    <w:rsid w:val="003277D5"/>
    <w:rsid w:val="00336E0E"/>
    <w:rsid w:val="00344D63"/>
    <w:rsid w:val="00364343"/>
    <w:rsid w:val="003647C2"/>
    <w:rsid w:val="00377143"/>
    <w:rsid w:val="0039005A"/>
    <w:rsid w:val="00394FE3"/>
    <w:rsid w:val="003C4C3E"/>
    <w:rsid w:val="003E2F1E"/>
    <w:rsid w:val="003E78A5"/>
    <w:rsid w:val="003F4837"/>
    <w:rsid w:val="00422523"/>
    <w:rsid w:val="004278E9"/>
    <w:rsid w:val="00446C41"/>
    <w:rsid w:val="00454D35"/>
    <w:rsid w:val="00461850"/>
    <w:rsid w:val="00477F1D"/>
    <w:rsid w:val="00497F2B"/>
    <w:rsid w:val="004B02A8"/>
    <w:rsid w:val="004C44EA"/>
    <w:rsid w:val="004C4C36"/>
    <w:rsid w:val="004E7A64"/>
    <w:rsid w:val="004F60DE"/>
    <w:rsid w:val="005013E2"/>
    <w:rsid w:val="005243BF"/>
    <w:rsid w:val="00525BAD"/>
    <w:rsid w:val="0052746E"/>
    <w:rsid w:val="00537D5A"/>
    <w:rsid w:val="00574977"/>
    <w:rsid w:val="00575528"/>
    <w:rsid w:val="00580767"/>
    <w:rsid w:val="005824E2"/>
    <w:rsid w:val="00582BC8"/>
    <w:rsid w:val="00584A4F"/>
    <w:rsid w:val="00591D1A"/>
    <w:rsid w:val="005A26B5"/>
    <w:rsid w:val="005A2BFB"/>
    <w:rsid w:val="005B3858"/>
    <w:rsid w:val="005B6617"/>
    <w:rsid w:val="005C71F0"/>
    <w:rsid w:val="005E043D"/>
    <w:rsid w:val="0061402D"/>
    <w:rsid w:val="00644A96"/>
    <w:rsid w:val="00676429"/>
    <w:rsid w:val="006871D6"/>
    <w:rsid w:val="006874EA"/>
    <w:rsid w:val="006A3B8C"/>
    <w:rsid w:val="006A7BC4"/>
    <w:rsid w:val="006D5762"/>
    <w:rsid w:val="006E0B00"/>
    <w:rsid w:val="007160F2"/>
    <w:rsid w:val="007238E3"/>
    <w:rsid w:val="007249ED"/>
    <w:rsid w:val="0073088A"/>
    <w:rsid w:val="00757CA7"/>
    <w:rsid w:val="007612F5"/>
    <w:rsid w:val="007613C4"/>
    <w:rsid w:val="007633BB"/>
    <w:rsid w:val="007721E4"/>
    <w:rsid w:val="007742FC"/>
    <w:rsid w:val="0079078B"/>
    <w:rsid w:val="00791366"/>
    <w:rsid w:val="007A1DEB"/>
    <w:rsid w:val="007C05CC"/>
    <w:rsid w:val="007C682A"/>
    <w:rsid w:val="007D1F3F"/>
    <w:rsid w:val="007D478B"/>
    <w:rsid w:val="007F1027"/>
    <w:rsid w:val="008238C4"/>
    <w:rsid w:val="00824F1F"/>
    <w:rsid w:val="0083305F"/>
    <w:rsid w:val="00836B66"/>
    <w:rsid w:val="008441FC"/>
    <w:rsid w:val="00851D26"/>
    <w:rsid w:val="00856C2A"/>
    <w:rsid w:val="00864656"/>
    <w:rsid w:val="00864BEA"/>
    <w:rsid w:val="008715D2"/>
    <w:rsid w:val="00885E2C"/>
    <w:rsid w:val="0089088E"/>
    <w:rsid w:val="00897A15"/>
    <w:rsid w:val="008A5B8B"/>
    <w:rsid w:val="008B113C"/>
    <w:rsid w:val="008B62E3"/>
    <w:rsid w:val="008B6925"/>
    <w:rsid w:val="008D17FA"/>
    <w:rsid w:val="008F09DD"/>
    <w:rsid w:val="00930D16"/>
    <w:rsid w:val="00945CE6"/>
    <w:rsid w:val="00956F04"/>
    <w:rsid w:val="0098593E"/>
    <w:rsid w:val="009A2ED0"/>
    <w:rsid w:val="009A7486"/>
    <w:rsid w:val="009B529C"/>
    <w:rsid w:val="009C0D49"/>
    <w:rsid w:val="009C3CA0"/>
    <w:rsid w:val="009D6133"/>
    <w:rsid w:val="009E2F2C"/>
    <w:rsid w:val="009E5E5D"/>
    <w:rsid w:val="009F53F4"/>
    <w:rsid w:val="00A2435D"/>
    <w:rsid w:val="00A33023"/>
    <w:rsid w:val="00A825CB"/>
    <w:rsid w:val="00AA0D16"/>
    <w:rsid w:val="00AA23E7"/>
    <w:rsid w:val="00AB3199"/>
    <w:rsid w:val="00AC182E"/>
    <w:rsid w:val="00AF6546"/>
    <w:rsid w:val="00B0478C"/>
    <w:rsid w:val="00B0559F"/>
    <w:rsid w:val="00B1340A"/>
    <w:rsid w:val="00B24C9F"/>
    <w:rsid w:val="00B3030F"/>
    <w:rsid w:val="00B45307"/>
    <w:rsid w:val="00B50A32"/>
    <w:rsid w:val="00B664E1"/>
    <w:rsid w:val="00B7280B"/>
    <w:rsid w:val="00B77363"/>
    <w:rsid w:val="00B834F3"/>
    <w:rsid w:val="00B9507E"/>
    <w:rsid w:val="00BA0F79"/>
    <w:rsid w:val="00BA78B1"/>
    <w:rsid w:val="00BC7BFB"/>
    <w:rsid w:val="00BD1688"/>
    <w:rsid w:val="00BD542E"/>
    <w:rsid w:val="00BE2B76"/>
    <w:rsid w:val="00C125E8"/>
    <w:rsid w:val="00C27DDF"/>
    <w:rsid w:val="00C310E5"/>
    <w:rsid w:val="00C3169E"/>
    <w:rsid w:val="00C45153"/>
    <w:rsid w:val="00C52CB5"/>
    <w:rsid w:val="00C71DE8"/>
    <w:rsid w:val="00CA3B77"/>
    <w:rsid w:val="00CA5FCD"/>
    <w:rsid w:val="00CB40B5"/>
    <w:rsid w:val="00CC1350"/>
    <w:rsid w:val="00CD240C"/>
    <w:rsid w:val="00CF5FC3"/>
    <w:rsid w:val="00D32599"/>
    <w:rsid w:val="00D54348"/>
    <w:rsid w:val="00D82B2C"/>
    <w:rsid w:val="00D95F69"/>
    <w:rsid w:val="00D973AB"/>
    <w:rsid w:val="00DB2FB9"/>
    <w:rsid w:val="00DE0566"/>
    <w:rsid w:val="00DF2F59"/>
    <w:rsid w:val="00DF4577"/>
    <w:rsid w:val="00DF4FC4"/>
    <w:rsid w:val="00DF66C4"/>
    <w:rsid w:val="00E00437"/>
    <w:rsid w:val="00E07A5C"/>
    <w:rsid w:val="00E1339E"/>
    <w:rsid w:val="00E13A44"/>
    <w:rsid w:val="00E35422"/>
    <w:rsid w:val="00E4373B"/>
    <w:rsid w:val="00E44575"/>
    <w:rsid w:val="00E568F3"/>
    <w:rsid w:val="00E93FD9"/>
    <w:rsid w:val="00EA3B54"/>
    <w:rsid w:val="00EB60DF"/>
    <w:rsid w:val="00EB76A7"/>
    <w:rsid w:val="00ED7F77"/>
    <w:rsid w:val="00EF5659"/>
    <w:rsid w:val="00F024EB"/>
    <w:rsid w:val="00F10050"/>
    <w:rsid w:val="00F1556C"/>
    <w:rsid w:val="00F3186D"/>
    <w:rsid w:val="00F55BE2"/>
    <w:rsid w:val="00F56E92"/>
    <w:rsid w:val="00F632F5"/>
    <w:rsid w:val="00FA231A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2019-09-21T07:44:00Z</dcterms:created>
  <dcterms:modified xsi:type="dcterms:W3CDTF">2019-09-21T07:44:00Z</dcterms:modified>
</cp:coreProperties>
</file>